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1. GENERALIDADES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 xml:space="preserve">CAL 40 </w:t>
      </w:r>
      <w:r w:rsidRPr="000A41B0">
        <w:rPr>
          <w:rFonts w:ascii="Century Gothic" w:hAnsi="Century Gothic" w:cs="Century Gothic"/>
          <w:b/>
          <w:bCs/>
          <w:vertAlign w:val="superscript"/>
        </w:rPr>
        <w:t>®</w:t>
      </w:r>
      <w:r w:rsidRPr="000A41B0">
        <w:rPr>
          <w:rFonts w:ascii="Century Gothic" w:hAnsi="Century Gothic" w:cs="Century Gothic"/>
          <w:b/>
          <w:bCs/>
        </w:rPr>
        <w:t xml:space="preserve"> </w:t>
      </w:r>
      <w:r w:rsidRPr="000A41B0">
        <w:rPr>
          <w:rFonts w:ascii="Century Gothic" w:hAnsi="Century Gothic" w:cs="Century Gothic"/>
        </w:rPr>
        <w:t>es un acondicionador de suelo a base de Carbonato de calcio</w:t>
      </w:r>
      <w:r w:rsidRPr="000A41B0">
        <w:rPr>
          <w:rFonts w:ascii="Century Gothic" w:hAnsi="Century Gothic" w:cs="Century Gothic"/>
          <w:b/>
          <w:bCs/>
        </w:rPr>
        <w:t xml:space="preserve"> </w:t>
      </w:r>
      <w:r w:rsidRPr="000A41B0">
        <w:rPr>
          <w:rFonts w:ascii="Century Gothic" w:hAnsi="Century Gothic" w:cs="Century Gothic"/>
        </w:rPr>
        <w:t xml:space="preserve">formulado como líquido </w:t>
      </w:r>
      <w:proofErr w:type="spellStart"/>
      <w:r w:rsidRPr="000A41B0">
        <w:rPr>
          <w:rFonts w:ascii="Century Gothic" w:hAnsi="Century Gothic" w:cs="Century Gothic"/>
        </w:rPr>
        <w:t>micronizado</w:t>
      </w:r>
      <w:proofErr w:type="spellEnd"/>
      <w:r w:rsidRPr="000A41B0">
        <w:rPr>
          <w:rFonts w:ascii="Century Gothic" w:hAnsi="Century Gothic" w:cs="Century Gothic"/>
        </w:rPr>
        <w:t xml:space="preserve"> </w:t>
      </w:r>
      <w:proofErr w:type="spellStart"/>
      <w:r w:rsidRPr="000A41B0">
        <w:rPr>
          <w:rFonts w:ascii="Century Gothic" w:hAnsi="Century Gothic" w:cs="Century Gothic"/>
        </w:rPr>
        <w:t>floable</w:t>
      </w:r>
      <w:proofErr w:type="spellEnd"/>
      <w:r w:rsidRPr="000A41B0">
        <w:rPr>
          <w:rFonts w:ascii="Century Gothic" w:hAnsi="Century Gothic" w:cs="Century Gothic"/>
        </w:rPr>
        <w:t>, con alto contenido de Calcio que incorporado al suelo bien sea antes o después de la siembra atrapa el mineral aluminio (Al</w:t>
      </w:r>
      <w:r w:rsidRPr="000A41B0">
        <w:rPr>
          <w:rFonts w:ascii="Century Gothic" w:hAnsi="Century Gothic" w:cs="Century Gothic"/>
          <w:vertAlign w:val="superscript"/>
        </w:rPr>
        <w:t>+</w:t>
      </w:r>
      <w:r w:rsidRPr="000A41B0">
        <w:rPr>
          <w:rFonts w:ascii="Century Gothic" w:hAnsi="Century Gothic" w:cs="Century Gothic"/>
        </w:rPr>
        <w:t>) mejorando el pH en la solución del suelo y poniendo a disposición de las plantas, los elementos bases y otros elementos minerales, importantes para optimizar el crecimiento y desarrollo de los cultivos.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Gracias a la calidad de su formulación, las plantas toman eficientemente el calcio que contiene.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 xml:space="preserve">El CAL 40 </w:t>
      </w:r>
      <w:r w:rsidRPr="000A41B0">
        <w:rPr>
          <w:rFonts w:ascii="Century Gothic" w:hAnsi="Century Gothic" w:cs="Century Gothic"/>
          <w:vertAlign w:val="superscript"/>
        </w:rPr>
        <w:t>®</w:t>
      </w:r>
      <w:r w:rsidRPr="000A41B0">
        <w:rPr>
          <w:rFonts w:ascii="Century Gothic" w:hAnsi="Century Gothic" w:cs="Century Gothic"/>
        </w:rPr>
        <w:t xml:space="preserve"> es esencial para la nutrición de las plantas y posee las siguientes características: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Carbonato de calcio líquido </w:t>
      </w:r>
      <w:proofErr w:type="spellStart"/>
      <w:r w:rsidRPr="000A41B0">
        <w:rPr>
          <w:rFonts w:ascii="Century Gothic" w:hAnsi="Century Gothic" w:cs="Century Gothic"/>
        </w:rPr>
        <w:t>micronizado</w:t>
      </w:r>
      <w:proofErr w:type="spellEnd"/>
      <w:r w:rsidRPr="000A41B0">
        <w:rPr>
          <w:rFonts w:ascii="Century Gothic" w:hAnsi="Century Gothic" w:cs="Century Gothic"/>
        </w:rPr>
        <w:t xml:space="preserve"> </w:t>
      </w:r>
      <w:proofErr w:type="spellStart"/>
      <w:r w:rsidRPr="000A41B0">
        <w:rPr>
          <w:rFonts w:ascii="Century Gothic" w:hAnsi="Century Gothic" w:cs="Century Gothic"/>
        </w:rPr>
        <w:t>flowable</w:t>
      </w:r>
      <w:proofErr w:type="spellEnd"/>
      <w:r w:rsidRPr="000A41B0">
        <w:rPr>
          <w:rFonts w:ascii="Century Gothic" w:hAnsi="Century Gothic" w:cs="Century Gothic"/>
        </w:rPr>
        <w:t xml:space="preserve">, sin residuos.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proofErr w:type="spellStart"/>
      <w:r w:rsidRPr="000A41B0">
        <w:rPr>
          <w:rFonts w:ascii="Century Gothic" w:hAnsi="Century Gothic" w:cs="Century Gothic"/>
        </w:rPr>
        <w:t>Micropartículas</w:t>
      </w:r>
      <w:proofErr w:type="spellEnd"/>
      <w:r w:rsidRPr="000A41B0">
        <w:rPr>
          <w:rFonts w:ascii="Century Gothic" w:hAnsi="Century Gothic" w:cs="Century Gothic"/>
        </w:rPr>
        <w:t xml:space="preserve"> de 1.0 micra de diámetro (tamaño menor que las arcillas del suelo)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Efecto ultra rápido comparado con encalados normales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Rápida dispersión y reacción localizada en el suelo.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Rápido control de pH localizado en la línea de siembra del cultivo.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>Rápida neutralización localizada del Aluminio (Al</w:t>
      </w:r>
      <w:r w:rsidRPr="000A41B0">
        <w:rPr>
          <w:rFonts w:ascii="Century Gothic" w:hAnsi="Century Gothic" w:cs="Century Gothic"/>
          <w:vertAlign w:val="superscript"/>
        </w:rPr>
        <w:t>+</w:t>
      </w:r>
      <w:r w:rsidRPr="000A41B0">
        <w:rPr>
          <w:rFonts w:ascii="Century Gothic" w:hAnsi="Century Gothic" w:cs="Century Gothic"/>
        </w:rPr>
        <w:t xml:space="preserve">) tóxico.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Rápido aumento de </w:t>
      </w:r>
      <w:bookmarkStart w:id="0" w:name="_GoBack"/>
      <w:bookmarkEnd w:id="0"/>
      <w:r w:rsidRPr="000A41B0">
        <w:rPr>
          <w:rFonts w:ascii="Century Gothic" w:hAnsi="Century Gothic" w:cs="Century Gothic"/>
        </w:rPr>
        <w:t xml:space="preserve">la saturación de bases (libera los nutrientes del suelo por mejora del pH y neutralización del aluminio).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Aplicación de bajo costo y de fácil manejo.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No produce </w:t>
      </w:r>
      <w:proofErr w:type="spellStart"/>
      <w:r w:rsidRPr="000A41B0">
        <w:rPr>
          <w:rFonts w:ascii="Century Gothic" w:hAnsi="Century Gothic" w:cs="Century Gothic"/>
        </w:rPr>
        <w:t>fitotoxicidad</w:t>
      </w:r>
      <w:proofErr w:type="spellEnd"/>
      <w:r w:rsidRPr="000A41B0">
        <w:rPr>
          <w:rFonts w:ascii="Century Gothic" w:hAnsi="Century Gothic" w:cs="Century Gothic"/>
        </w:rPr>
        <w:t xml:space="preserve"> al cultivo, aún en aplicaciones foliares o aplicado puro como filtro solar sobre las frutas. Puede ser usado en cualquier etapa de desarrollo del cultivo: almácigo, trasplante, desarrollo, floración, formación y llenado del fruto. 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De otra parte el Calcio en la planta cumple con diferentes funciones como: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Asegura el crecimiento de la planta siendo elemento estructural de las membranas y paredes celulares.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Proporciona resistencia a la pared celular frente al ataque de enfermedades.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Importante en la formación del tubo polínico (fecundación).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lastRenderedPageBreak/>
        <w:t xml:space="preserve">Permite una fácil asimilación de los demás nutrientes.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Evita procesos de pudrición como el “culillo” en el tomate.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Evita el llamado “crochet” en cultivo de clavel.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El calcio es un instrumento para proteger la planta de las toxinas y retrasa en ellas el proceso de envejecimiento.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before="40" w:afterLines="80" w:after="192"/>
        <w:ind w:left="0" w:hanging="361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Mejora la calidad y producción de la cosecha. </w:t>
      </w:r>
    </w:p>
    <w:p w:rsid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tabs>
          <w:tab w:val="left" w:pos="4536"/>
        </w:tabs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 w:cs="Century Gothic"/>
          <w:b/>
          <w:bCs/>
        </w:rPr>
      </w:pPr>
      <w:r w:rsidRPr="000A41B0">
        <w:rPr>
          <w:rFonts w:ascii="Century Gothic" w:hAnsi="Century Gothic" w:cs="Century Gothic"/>
          <w:b/>
          <w:bCs/>
        </w:rPr>
        <w:t xml:space="preserve">TIPO DE PRODUCTO </w:t>
      </w:r>
      <w:r w:rsidR="0068655B">
        <w:rPr>
          <w:rFonts w:ascii="Century Gothic" w:hAnsi="Century Gothic" w:cs="Century Gothic"/>
          <w:b/>
          <w:bCs/>
        </w:rPr>
        <w:tab/>
        <w:t>Suspensión Concentrada</w:t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Fuentes: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Carbonato de calcio (CaCO3)</w:t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Nombre Comercial: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CAL 40</w:t>
      </w:r>
      <w:r w:rsidRPr="000A41B0">
        <w:rPr>
          <w:rFonts w:ascii="Century Gothic" w:hAnsi="Century Gothic"/>
        </w:rPr>
        <w:tab/>
      </w:r>
    </w:p>
    <w:p w:rsid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3. PROPIEDADES FÍSICO – QUÍMICAS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/>
        </w:rPr>
        <w:tab/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Estado Físico: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Líquido</w:t>
      </w:r>
      <w:r w:rsidRPr="000A41B0">
        <w:rPr>
          <w:rFonts w:ascii="Century Gothic" w:hAnsi="Century Gothic"/>
        </w:rPr>
        <w:tab/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Color</w:t>
      </w:r>
      <w:r w:rsidRPr="000A41B0">
        <w:rPr>
          <w:rFonts w:ascii="Century Gothic" w:hAnsi="Century Gothic" w:cs="Century Gothic"/>
        </w:rPr>
        <w:t>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Blanco</w:t>
      </w:r>
      <w:r w:rsidRPr="000A41B0">
        <w:rPr>
          <w:rFonts w:ascii="Century Gothic" w:hAnsi="Century Gothic"/>
        </w:rPr>
        <w:tab/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Olor: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  <w:w w:val="99"/>
        </w:rPr>
        <w:t>Ninguno o ligeramente a amoniaco</w:t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proofErr w:type="gramStart"/>
      <w:r w:rsidRPr="000A41B0">
        <w:rPr>
          <w:rFonts w:ascii="Century Gothic" w:hAnsi="Century Gothic" w:cs="Century Gothic"/>
          <w:b/>
          <w:bCs/>
        </w:rPr>
        <w:t>pH</w:t>
      </w:r>
      <w:proofErr w:type="gramEnd"/>
      <w:r w:rsidRPr="000A41B0">
        <w:rPr>
          <w:rFonts w:ascii="Century Gothic" w:hAnsi="Century Gothic" w:cs="Century Gothic"/>
          <w:b/>
          <w:bCs/>
        </w:rPr>
        <w:t xml:space="preserve"> en solución al 10%: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9.5 – 10.5</w:t>
      </w:r>
      <w:r w:rsidRPr="000A41B0">
        <w:rPr>
          <w:rFonts w:ascii="Century Gothic" w:hAnsi="Century Gothic"/>
        </w:rPr>
        <w:tab/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Solubilidad: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soluble en agua</w:t>
      </w:r>
      <w:r w:rsidRPr="000A41B0">
        <w:rPr>
          <w:rFonts w:ascii="Century Gothic" w:hAnsi="Century Gothic"/>
        </w:rPr>
        <w:tab/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Densidad: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1.73 – 1.75</w:t>
      </w:r>
      <w:r w:rsidRPr="000A41B0">
        <w:rPr>
          <w:rFonts w:ascii="Century Gothic" w:hAnsi="Century Gothic"/>
        </w:rPr>
        <w:tab/>
      </w:r>
    </w:p>
    <w:p w:rsid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4. COMPOSICIÓN GARANTIZADA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/>
        </w:rPr>
        <w:tab/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P/P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P/V</w:t>
      </w:r>
    </w:p>
    <w:p w:rsidR="000A41B0" w:rsidRPr="000A41B0" w:rsidRDefault="000A41B0" w:rsidP="00B276BA">
      <w:pPr>
        <w:pStyle w:val="Fuentedeprrafopredeter"/>
        <w:widowControl w:val="0"/>
        <w:tabs>
          <w:tab w:val="left" w:pos="4604"/>
          <w:tab w:val="left" w:pos="7158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Calcio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25 %</w:t>
      </w:r>
      <w:r w:rsidRPr="000A41B0">
        <w:rPr>
          <w:rFonts w:ascii="Century Gothic" w:hAnsi="Century Gothic"/>
        </w:rPr>
        <w:tab/>
      </w:r>
      <w:r w:rsidRPr="000A41B0">
        <w:rPr>
          <w:rFonts w:ascii="Century Gothic" w:hAnsi="Century Gothic" w:cs="Century Gothic"/>
        </w:rPr>
        <w:t>43,5 %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5. INFORMACIÓN REGULATORIA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EN COLOMBIA:</w:t>
      </w:r>
    </w:p>
    <w:p w:rsidR="000A41B0" w:rsidRPr="000A41B0" w:rsidRDefault="000A41B0" w:rsidP="00B276BA">
      <w:pPr>
        <w:pStyle w:val="Fuentedeprrafopredeter"/>
        <w:widowControl w:val="0"/>
        <w:tabs>
          <w:tab w:val="left" w:pos="4820"/>
        </w:tabs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-</w:t>
      </w:r>
      <w:r w:rsidR="00314BCC">
        <w:rPr>
          <w:rFonts w:ascii="Century Gothic" w:hAnsi="Century Gothic" w:cs="Century Gothic"/>
        </w:rPr>
        <w:t xml:space="preserve"> </w:t>
      </w:r>
      <w:r w:rsidRPr="000A41B0">
        <w:rPr>
          <w:rFonts w:ascii="Century Gothic" w:hAnsi="Century Gothic" w:cs="Century Gothic"/>
          <w:b/>
          <w:bCs/>
        </w:rPr>
        <w:t>Registro de Venta ICA No.:</w:t>
      </w:r>
      <w:r w:rsidRPr="000A41B0">
        <w:rPr>
          <w:rFonts w:ascii="Century Gothic" w:hAnsi="Century Gothic"/>
        </w:rPr>
        <w:tab/>
      </w:r>
      <w:r>
        <w:rPr>
          <w:rFonts w:ascii="Century Gothic" w:hAnsi="Century Gothic" w:cs="Century Gothic"/>
        </w:rPr>
        <w:t>7731 a nombre de ISAGRO COLOMBIA</w:t>
      </w:r>
    </w:p>
    <w:p w:rsidR="000A41B0" w:rsidRPr="000A41B0" w:rsidRDefault="000A41B0" w:rsidP="00314BCC">
      <w:pPr>
        <w:pStyle w:val="Fuentedeprrafopredeter"/>
        <w:widowControl w:val="0"/>
        <w:tabs>
          <w:tab w:val="left" w:pos="426"/>
          <w:tab w:val="left" w:pos="4820"/>
        </w:tabs>
        <w:autoSpaceDE w:val="0"/>
        <w:autoSpaceDN w:val="0"/>
        <w:adjustRightInd w:val="0"/>
        <w:spacing w:before="40" w:afterLines="80" w:after="192"/>
        <w:ind w:left="4820" w:hanging="4820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Cs/>
        </w:rPr>
        <w:lastRenderedPageBreak/>
        <w:t>-</w:t>
      </w:r>
      <w:r w:rsidR="00314BCC">
        <w:rPr>
          <w:rFonts w:ascii="Century Gothic" w:hAnsi="Century Gothic" w:cs="Century Gothic"/>
          <w:bCs/>
        </w:rPr>
        <w:tab/>
      </w:r>
      <w:r w:rsidRPr="000A41B0">
        <w:rPr>
          <w:rFonts w:ascii="Century Gothic" w:hAnsi="Century Gothic" w:cs="Century Gothic"/>
          <w:b/>
          <w:bCs/>
        </w:rPr>
        <w:t>Clasificación propuesta:</w:t>
      </w:r>
      <w:r w:rsidR="00314BCC">
        <w:rPr>
          <w:rFonts w:ascii="Century Gothic" w:hAnsi="Century Gothic" w:cs="Century Gothic"/>
          <w:b/>
          <w:bCs/>
        </w:rPr>
        <w:t xml:space="preserve"> </w:t>
      </w:r>
      <w:r w:rsidR="0068655B">
        <w:rPr>
          <w:rFonts w:ascii="Century Gothic" w:hAnsi="Century Gothic" w:cs="Century Gothic"/>
          <w:b/>
          <w:bCs/>
        </w:rPr>
        <w:tab/>
        <w:t>Acondicionador Inorgánico (Enmienda) para aplicación al suelo</w:t>
      </w:r>
    </w:p>
    <w:p w:rsidR="00314BCC" w:rsidRDefault="00314BCC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6. RECOMENDACIONES DE USO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Con el fin de lograr una buena reactividad y disposición del producto, siempre aplique con suelo húmedo (capacidad de campo)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0"/>
        <w:gridCol w:w="2340"/>
        <w:gridCol w:w="4200"/>
        <w:gridCol w:w="30"/>
      </w:tblGrid>
      <w:tr w:rsidR="0068655B" w:rsidRPr="0068655B" w:rsidTr="006865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2440" w:type="dxa"/>
            <w:vAlign w:val="center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CULTIVO</w:t>
            </w:r>
          </w:p>
        </w:tc>
        <w:tc>
          <w:tcPr>
            <w:tcW w:w="2340" w:type="dxa"/>
            <w:vAlign w:val="center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DOSIS litros /Ha</w:t>
            </w:r>
          </w:p>
        </w:tc>
        <w:tc>
          <w:tcPr>
            <w:tcW w:w="4200" w:type="dxa"/>
            <w:vAlign w:val="center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EPOCA</w:t>
            </w:r>
          </w:p>
        </w:tc>
        <w:tc>
          <w:tcPr>
            <w:tcW w:w="30" w:type="dxa"/>
            <w:vAlign w:val="bottom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655B" w:rsidRPr="0068655B" w:rsidTr="006865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2440" w:type="dxa"/>
            <w:vAlign w:val="center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rPr>
                <w:rFonts w:ascii="Century Gothic" w:hAnsi="Century Gothic"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sz w:val="20"/>
                <w:szCs w:val="20"/>
              </w:rPr>
              <w:t>Todos los cultivos</w:t>
            </w:r>
          </w:p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sz w:val="20"/>
                <w:szCs w:val="20"/>
              </w:rPr>
              <w:t>(enmienda)</w:t>
            </w:r>
          </w:p>
        </w:tc>
        <w:tc>
          <w:tcPr>
            <w:tcW w:w="2340" w:type="dxa"/>
            <w:vAlign w:val="center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sz w:val="20"/>
                <w:szCs w:val="20"/>
              </w:rPr>
              <w:t>4.0 – 6.0</w:t>
            </w:r>
          </w:p>
        </w:tc>
        <w:tc>
          <w:tcPr>
            <w:tcW w:w="4200" w:type="dxa"/>
            <w:vAlign w:val="center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rPr>
                <w:rFonts w:ascii="Century Gothic" w:hAnsi="Century Gothic"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sz w:val="20"/>
                <w:szCs w:val="20"/>
              </w:rPr>
              <w:t>Aplicar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al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momento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de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la</w:t>
            </w:r>
            <w:r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siembra en la línea de surco.</w:t>
            </w:r>
          </w:p>
          <w:p w:rsidR="0068655B" w:rsidRPr="0068655B" w:rsidRDefault="0068655B" w:rsidP="00314BCC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68655B">
              <w:rPr>
                <w:rFonts w:ascii="Century Gothic" w:hAnsi="Century Gothic" w:cs="Century Gothic"/>
                <w:sz w:val="20"/>
                <w:szCs w:val="20"/>
              </w:rPr>
              <w:t>En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cultivos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establecidos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(frutales,</w:t>
            </w:r>
            <w:r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palma,</w:t>
            </w:r>
            <w:r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forestales</w:t>
            </w:r>
            <w:r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maderables,</w:t>
            </w:r>
            <w:r>
              <w:rPr>
                <w:rFonts w:ascii="Century Gothic" w:hAnsi="Century Gothic" w:cs="Century Gothic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etc</w:t>
            </w:r>
            <w:r w:rsidR="00314BCC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>)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aplicar</w:t>
            </w:r>
            <w:r w:rsidR="00314BCC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>alrededor</w:t>
            </w:r>
            <w:r w:rsidR="00314BCC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>de</w:t>
            </w:r>
            <w:r w:rsidR="00314BCC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>la parte</w:t>
            </w:r>
            <w:r w:rsidR="00314BCC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>media</w:t>
            </w:r>
            <w:r w:rsidR="00314BCC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>de</w:t>
            </w:r>
            <w:r w:rsidR="00314BCC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>la</w:t>
            </w:r>
            <w:r w:rsidR="00314BCC">
              <w:rPr>
                <w:rFonts w:ascii="Century Gothic" w:hAnsi="Century Gothic" w:cs="Century Gothic"/>
                <w:w w:val="99"/>
                <w:sz w:val="20"/>
                <w:szCs w:val="20"/>
              </w:rPr>
              <w:t xml:space="preserve"> </w:t>
            </w:r>
            <w:r w:rsidRPr="0068655B">
              <w:rPr>
                <w:rFonts w:ascii="Century Gothic" w:hAnsi="Century Gothic" w:cs="Century Gothic"/>
                <w:w w:val="99"/>
                <w:sz w:val="20"/>
                <w:szCs w:val="20"/>
              </w:rPr>
              <w:t>gotera del</w:t>
            </w:r>
            <w:r w:rsidRPr="0068655B">
              <w:rPr>
                <w:rFonts w:ascii="Century Gothic" w:hAnsi="Century Gothic" w:cs="Century Gothic"/>
                <w:sz w:val="20"/>
                <w:szCs w:val="20"/>
              </w:rPr>
              <w:t xml:space="preserve"> árbol.</w:t>
            </w:r>
          </w:p>
        </w:tc>
        <w:tc>
          <w:tcPr>
            <w:tcW w:w="30" w:type="dxa"/>
            <w:vAlign w:val="bottom"/>
          </w:tcPr>
          <w:p w:rsidR="0068655B" w:rsidRPr="0068655B" w:rsidRDefault="0068655B" w:rsidP="00B276BA">
            <w:pPr>
              <w:pStyle w:val="Fuentedeprrafopredeter"/>
              <w:widowControl w:val="0"/>
              <w:autoSpaceDE w:val="0"/>
              <w:autoSpaceDN w:val="0"/>
              <w:adjustRightInd w:val="0"/>
              <w:spacing w:before="40" w:afterLines="80" w:after="192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8655B" w:rsidRDefault="0068655B" w:rsidP="00B276BA"/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Dependiendo del pH y del contenido de aluminio las dosis pueden variar, así:</w:t>
      </w:r>
    </w:p>
    <w:p w:rsidR="0068655B" w:rsidRPr="0068655B" w:rsidRDefault="000A41B0" w:rsidP="00B276BA">
      <w:pPr>
        <w:pStyle w:val="Fuentedeprrafopredeter"/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before="40" w:afterLines="80" w:after="192"/>
        <w:ind w:left="0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 xml:space="preserve">Suelos con pH bajo y alta precipitación (&gt;1800mm/año) : hasta 9 litros/Ha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before="40" w:afterLines="80" w:after="192"/>
        <w:ind w:left="0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- Suelos con pH 4.5 y alto contenido de Al</w:t>
      </w:r>
      <w:r w:rsidRPr="000A41B0">
        <w:rPr>
          <w:rFonts w:ascii="Century Gothic" w:hAnsi="Century Gothic" w:cs="Century Gothic"/>
          <w:vertAlign w:val="superscript"/>
        </w:rPr>
        <w:t>+</w:t>
      </w:r>
      <w:r w:rsidRPr="000A41B0">
        <w:rPr>
          <w:rFonts w:ascii="Century Gothic" w:hAnsi="Century Gothic" w:cs="Century Gothic"/>
        </w:rPr>
        <w:t xml:space="preserve"> (&gt; 30%): 6 litros/ha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6"/>
        </w:numPr>
        <w:autoSpaceDE w:val="0"/>
        <w:autoSpaceDN w:val="0"/>
        <w:adjustRightInd w:val="0"/>
        <w:spacing w:before="40" w:afterLines="80" w:after="192"/>
        <w:ind w:left="0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Suelos con pH 5.5 y contenidos de Al</w:t>
      </w:r>
      <w:r w:rsidRPr="000A41B0">
        <w:rPr>
          <w:rFonts w:ascii="Century Gothic" w:hAnsi="Century Gothic" w:cs="Century Gothic"/>
          <w:vertAlign w:val="superscript"/>
        </w:rPr>
        <w:t>+</w:t>
      </w:r>
      <w:r w:rsidR="00314BCC">
        <w:rPr>
          <w:rFonts w:ascii="Century Gothic" w:hAnsi="Century Gothic" w:cs="Century Gothic"/>
        </w:rPr>
        <w:t xml:space="preserve"> </w:t>
      </w:r>
      <w:r w:rsidRPr="000A41B0">
        <w:rPr>
          <w:rFonts w:ascii="Century Gothic" w:hAnsi="Century Gothic" w:cs="Century Gothic"/>
        </w:rPr>
        <w:t>(medio a bajo: 5-30%): 4 litros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MODO DE EMPLEO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Agitar fuertemente el envase de CAL 40</w:t>
      </w:r>
      <w:r w:rsidRPr="000A41B0">
        <w:rPr>
          <w:rFonts w:ascii="Century Gothic" w:hAnsi="Century Gothic" w:cs="Century Gothic"/>
          <w:vertAlign w:val="superscript"/>
        </w:rPr>
        <w:t>®</w:t>
      </w:r>
      <w:r w:rsidRPr="000A41B0">
        <w:rPr>
          <w:rFonts w:ascii="Century Gothic" w:hAnsi="Century Gothic" w:cs="Century Gothic"/>
        </w:rPr>
        <w:t xml:space="preserve"> antes de usarlo, agregarlo al tanque cuando éste tenga por lo menos tres cuartas partes de agua, agitando simultáneamente.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Diluya el producto en una relación de 1: 200 (0.5%) o 1:100 (1%), de todas maneras, siempre realice una calibración, pues normalmente el volumen de mezcla a aplicar debe ajustarse para que se obtenga un buen cubrimiento.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Frecuencia de aplicación: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Bajo condiciones normales se recomienda repetir la aplicación en cada cosecha. Para cultivos hortícolas de ciclo corto realizar mínimo 2 aplicaciones / año.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lastRenderedPageBreak/>
        <w:t>COMPATIBILIDAD</w:t>
      </w:r>
    </w:p>
    <w:p w:rsidR="000A41B0" w:rsidRPr="000A41B0" w:rsidRDefault="000A41B0" w:rsidP="004F4AC2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En general debido a su alcalinidad, el producto debe ser manejado solo o en mezcla con productos de reacción alcalina, sin embargo, tenga en cuenta:</w:t>
      </w:r>
    </w:p>
    <w:p w:rsidR="000A41B0" w:rsidRPr="000A41B0" w:rsidRDefault="000A41B0" w:rsidP="004F4AC2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 xml:space="preserve">No </w:t>
      </w:r>
      <w:r w:rsidRPr="000A41B0">
        <w:rPr>
          <w:rFonts w:ascii="Century Gothic" w:hAnsi="Century Gothic" w:cs="Century Gothic"/>
        </w:rPr>
        <w:t>mezclar con fertilizantes fosfatados, ni con fertilizantes o productos de</w:t>
      </w:r>
      <w:r w:rsidRPr="000A41B0">
        <w:rPr>
          <w:rFonts w:ascii="Century Gothic" w:hAnsi="Century Gothic" w:cs="Century Gothic"/>
          <w:b/>
          <w:bCs/>
        </w:rPr>
        <w:t xml:space="preserve"> </w:t>
      </w:r>
      <w:r w:rsidRPr="000A41B0">
        <w:rPr>
          <w:rFonts w:ascii="Century Gothic" w:hAnsi="Century Gothic" w:cs="Century Gothic"/>
        </w:rPr>
        <w:t>reacción ácida ya que se puede presentar precipitación de la mezcla.</w:t>
      </w:r>
    </w:p>
    <w:p w:rsidR="000A41B0" w:rsidRPr="000A41B0" w:rsidRDefault="000A41B0" w:rsidP="004F4AC2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La actividad herbicida del Glifosato sobre malezas de difícil control se puede ver afectada</w:t>
      </w:r>
    </w:p>
    <w:p w:rsidR="000A41B0" w:rsidRPr="000A41B0" w:rsidRDefault="000A41B0" w:rsidP="004F4AC2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Es aconsejable si existe alguna duda de mezcla, hacer una prueba de compatibilidad.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NOTA</w:t>
      </w:r>
      <w:r w:rsidRPr="000A41B0">
        <w:rPr>
          <w:rFonts w:ascii="Century Gothic" w:hAnsi="Century Gothic" w:cs="Century Gothic"/>
        </w:rPr>
        <w:t>:</w:t>
      </w:r>
      <w:r w:rsidRPr="000A41B0">
        <w:rPr>
          <w:rFonts w:ascii="Century Gothic" w:hAnsi="Century Gothic" w:cs="Century Gothic"/>
          <w:b/>
          <w:bCs/>
        </w:rPr>
        <w:t xml:space="preserve"> </w:t>
      </w:r>
      <w:r w:rsidRPr="000A41B0">
        <w:rPr>
          <w:rFonts w:ascii="Century Gothic" w:hAnsi="Century Gothic" w:cs="Century Gothic"/>
          <w:u w:val="single"/>
        </w:rPr>
        <w:t>Utilícese el mismo día de la preparación, nunca deje la suspensión</w:t>
      </w:r>
      <w:r w:rsidRPr="000A41B0">
        <w:rPr>
          <w:rFonts w:ascii="Century Gothic" w:hAnsi="Century Gothic" w:cs="Century Gothic"/>
          <w:b/>
          <w:bCs/>
        </w:rPr>
        <w:t xml:space="preserve"> </w:t>
      </w:r>
      <w:r w:rsidRPr="000A41B0">
        <w:rPr>
          <w:rFonts w:ascii="Century Gothic" w:hAnsi="Century Gothic" w:cs="Century Gothic"/>
          <w:u w:val="single"/>
        </w:rPr>
        <w:t>preparada de un día para otro</w:t>
      </w:r>
      <w:r w:rsidRPr="000A41B0">
        <w:rPr>
          <w:rFonts w:ascii="Century Gothic" w:hAnsi="Century Gothic" w:cs="Century Gothic"/>
        </w:rPr>
        <w:t>.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7. PRESENTACIONES COMERCIALES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</w:rPr>
        <w:t>Frascos plásticos por 1, 4, 5, 10, 20 y 200 litros.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8. PRECAUCIONES</w:t>
      </w:r>
    </w:p>
    <w:p w:rsidR="00314BCC" w:rsidRDefault="00314BCC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LEA COMPLETAMENTE LA ETIQUETA ANTES DE USAR EL RODUCTO MANTÉNGASE FUERA DEL ALCANCE DE LOS NIÑOS</w:t>
      </w:r>
    </w:p>
    <w:p w:rsidR="00314BCC" w:rsidRDefault="00314BCC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PRECAUCIONES Y ADVERTENCIAS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Aunque el producto no representa riesgo de intoxicación, cuando se maneje en mezcla con agroquímicos en general se recomienda usar guantes, overol y máscara y atender las recomendaciones del agroquímico con que se mezcla.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Lave todo el equipo antes y después de su uso.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No comer, beber, ni fumar durante la aplicación.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Puede presentar una leve irritación en la piel o suave irritación en los ojos, en caso de presentarse, lave el área expuesta con suficiente agua. </w:t>
      </w:r>
    </w:p>
    <w:p w:rsidR="00314BCC" w:rsidRDefault="00314BCC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lastRenderedPageBreak/>
        <w:t>ALMACENAMIENTO Y MANEJO DEL PRODUCTO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Debe guardarse en su empaque original cerrado en un lugar seguro, seco y fresco, fuera del alcance de los niños, personas irresponsables y animales.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Evítese la contaminación de fuentes de agua, caños, ríos, lagunas, etc., así como cultivos vecinos con sobrantes de producto o aguas de lavado. </w:t>
      </w:r>
    </w:p>
    <w:p w:rsidR="00314BCC" w:rsidRDefault="00314BCC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rPr>
          <w:rFonts w:ascii="Century Gothic" w:hAnsi="Century Gothic" w:cs="Century Gothic"/>
          <w:b/>
          <w:bCs/>
        </w:rPr>
      </w:pP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En caso de intoxicación llame al médico inmediatamente o lleve al paciente al médico y muéstrele una copia de la etiqueta. El tratamiento es sintomático.</w:t>
      </w: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</w:p>
    <w:p w:rsidR="000A41B0" w:rsidRPr="000A41B0" w:rsidRDefault="000A41B0" w:rsidP="00B276BA">
      <w:pPr>
        <w:pStyle w:val="Fuentedeprrafopredeter"/>
        <w:widowControl w:val="0"/>
        <w:autoSpaceDE w:val="0"/>
        <w:autoSpaceDN w:val="0"/>
        <w:adjustRightInd w:val="0"/>
        <w:spacing w:before="40" w:afterLines="80" w:after="192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MEDIDAS PARA PROTECCION DEL AMBIENTE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No contamine los lagos, estanques, ríos y demás fuentes de agua. No arroje a las fuentes de agua los sobrantes del producto, al lavar los equipos de aplicación. </w:t>
      </w:r>
    </w:p>
    <w:p w:rsidR="000A41B0" w:rsidRPr="000A41B0" w:rsidRDefault="000A41B0" w:rsidP="00B276BA">
      <w:pPr>
        <w:pStyle w:val="Fuentedeprrafopredeter"/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before="40" w:afterLines="80" w:after="192"/>
        <w:ind w:left="0" w:hanging="426"/>
        <w:jc w:val="both"/>
        <w:rPr>
          <w:rFonts w:ascii="Century Gothic" w:hAnsi="Century Gothic" w:cs="Century Gothic"/>
        </w:rPr>
      </w:pPr>
      <w:r w:rsidRPr="000A41B0">
        <w:rPr>
          <w:rFonts w:ascii="Century Gothic" w:hAnsi="Century Gothic" w:cs="Century Gothic"/>
        </w:rPr>
        <w:t xml:space="preserve">No lo almacene con comida o ninguna clase de alimento. </w:t>
      </w:r>
    </w:p>
    <w:p w:rsidR="000A41B0" w:rsidRPr="000A41B0" w:rsidRDefault="000A41B0" w:rsidP="00314BCC">
      <w:pPr>
        <w:pStyle w:val="Fuentedeprrafopredeter"/>
        <w:widowControl w:val="0"/>
        <w:autoSpaceDE w:val="0"/>
        <w:autoSpaceDN w:val="0"/>
        <w:adjustRightInd w:val="0"/>
        <w:rPr>
          <w:rFonts w:ascii="Century Gothic" w:hAnsi="Century Gothic"/>
        </w:rPr>
      </w:pP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Ningún envase que haya contenido agroquímicos deberá utilizarse para conservar alimentos o agua potable.</w:t>
      </w:r>
    </w:p>
    <w:p w:rsidR="000A41B0" w:rsidRPr="000A41B0" w:rsidRDefault="000A41B0" w:rsidP="00B276BA">
      <w:pPr>
        <w:pStyle w:val="Fuentedeprrafopredeter"/>
        <w:widowControl w:val="0"/>
        <w:overflowPunct w:val="0"/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/>
        </w:rPr>
      </w:pPr>
      <w:r w:rsidRPr="000A41B0">
        <w:rPr>
          <w:rFonts w:ascii="Century Gothic" w:hAnsi="Century Gothic" w:cs="Century Gothic"/>
          <w:b/>
          <w:bCs/>
        </w:rPr>
        <w:t>Después de utilizar el contenido, enjuague tres veces este envase y vierta el enjuague es la mezcla de la aplicación, luego destrúyalo</w:t>
      </w:r>
    </w:p>
    <w:p w:rsidR="0071238E" w:rsidRPr="00314BCC" w:rsidRDefault="0071238E" w:rsidP="00314BCC">
      <w:pPr>
        <w:autoSpaceDE w:val="0"/>
        <w:autoSpaceDN w:val="0"/>
        <w:adjustRightInd w:val="0"/>
        <w:jc w:val="both"/>
        <w:rPr>
          <w:rFonts w:ascii="Century Gothic" w:hAnsi="Century Gothic"/>
          <w:b/>
          <w:bCs/>
        </w:rPr>
      </w:pPr>
    </w:p>
    <w:p w:rsidR="00932172" w:rsidRPr="000A41B0" w:rsidRDefault="00932172" w:rsidP="00B276BA">
      <w:pPr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 w:cs="Arial"/>
        </w:rPr>
      </w:pPr>
      <w:r w:rsidRPr="000A41B0">
        <w:rPr>
          <w:rFonts w:ascii="Century Gothic" w:hAnsi="Century Gothic"/>
          <w:b/>
          <w:bCs/>
          <w:lang w:val="es-CO"/>
        </w:rPr>
        <w:t>EN CASO DE EMERGENCIA LLAME GRATIS A LOS TELEFONOS 2886012 EN</w:t>
      </w:r>
      <w:r w:rsidR="00314BCC">
        <w:rPr>
          <w:rFonts w:ascii="Century Gothic" w:hAnsi="Century Gothic"/>
          <w:b/>
          <w:bCs/>
          <w:lang w:val="es-CO"/>
        </w:rPr>
        <w:t xml:space="preserve"> </w:t>
      </w:r>
      <w:r w:rsidRPr="000A41B0">
        <w:rPr>
          <w:rFonts w:ascii="Century Gothic" w:hAnsi="Century Gothic"/>
          <w:b/>
          <w:bCs/>
          <w:lang w:val="es-CO"/>
        </w:rPr>
        <w:t>BOGOTA Y AL 018000-916012 FUERA DE BOGOTA (CISPROQUIM). LAS 24 HORAS.</w:t>
      </w:r>
    </w:p>
    <w:p w:rsidR="00932172" w:rsidRPr="000A41B0" w:rsidRDefault="00932172" w:rsidP="00B276BA">
      <w:pPr>
        <w:autoSpaceDE w:val="0"/>
        <w:autoSpaceDN w:val="0"/>
        <w:adjustRightInd w:val="0"/>
        <w:spacing w:before="40" w:afterLines="80" w:after="192"/>
        <w:jc w:val="both"/>
        <w:rPr>
          <w:rFonts w:ascii="Century Gothic" w:hAnsi="Century Gothic" w:cs="Arial"/>
        </w:rPr>
      </w:pPr>
    </w:p>
    <w:p w:rsidR="00932172" w:rsidRPr="000A41B0" w:rsidRDefault="001F27B9" w:rsidP="00B276BA">
      <w:pPr>
        <w:spacing w:before="40" w:afterLines="80" w:after="192"/>
        <w:jc w:val="center"/>
        <w:rPr>
          <w:rFonts w:ascii="Century Gothic" w:hAnsi="Century Gothic" w:cs="Arial"/>
        </w:rPr>
      </w:pPr>
      <w:r w:rsidRPr="000A41B0">
        <w:rPr>
          <w:rFonts w:ascii="Century Gothic" w:hAnsi="Century Gothic" w:cs="Arial"/>
          <w:noProof/>
          <w:lang w:val="es-CO" w:eastAsia="es-CO"/>
        </w:rPr>
        <w:drawing>
          <wp:inline distT="0" distB="0" distL="0" distR="0" wp14:anchorId="1E68685F" wp14:editId="2678C3C1">
            <wp:extent cx="1494155" cy="1494155"/>
            <wp:effectExtent l="19050" t="0" r="0" b="0"/>
            <wp:docPr id="3" name="Imagen 1" descr="Cisproquim%20Nacional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sproquim%20Nacional0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49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14BCC">
        <w:rPr>
          <w:rFonts w:ascii="Century Gothic" w:hAnsi="Century Gothic" w:cs="Arial"/>
        </w:rPr>
        <w:t xml:space="preserve"> </w:t>
      </w:r>
      <w:r w:rsidRPr="000A41B0">
        <w:rPr>
          <w:rFonts w:ascii="Century Gothic" w:hAnsi="Century Gothic" w:cs="Arial"/>
          <w:noProof/>
          <w:lang w:val="es-CO" w:eastAsia="es-CO"/>
        </w:rPr>
        <w:drawing>
          <wp:inline distT="0" distB="0" distL="0" distR="0" wp14:anchorId="282ED598" wp14:editId="27C4EAE8">
            <wp:extent cx="1494155" cy="1494155"/>
            <wp:effectExtent l="19050" t="0" r="0" b="0"/>
            <wp:docPr id="2" name="Imagen 2" descr="Cisproquim-INTERNAC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sproquim-INTERNACIONAL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49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E31" w:rsidRPr="000A41B0" w:rsidRDefault="0071238E" w:rsidP="00314BCC">
      <w:pPr>
        <w:spacing w:before="40" w:afterLines="80" w:after="192"/>
        <w:jc w:val="right"/>
        <w:rPr>
          <w:rFonts w:ascii="Century Gothic" w:hAnsi="Century Gothic"/>
        </w:rPr>
      </w:pPr>
      <w:r w:rsidRPr="000A41B0">
        <w:rPr>
          <w:rFonts w:ascii="Century Gothic" w:hAnsi="Century Gothic"/>
        </w:rPr>
        <w:t xml:space="preserve">Fecha de revisión: </w:t>
      </w:r>
      <w:r w:rsidR="000A41B0" w:rsidRPr="000A41B0">
        <w:rPr>
          <w:rFonts w:ascii="Century Gothic" w:hAnsi="Century Gothic"/>
        </w:rPr>
        <w:t>Febrero de 2013</w:t>
      </w:r>
    </w:p>
    <w:sectPr w:rsidR="00A50E31" w:rsidRPr="000A41B0" w:rsidSect="00736B28">
      <w:headerReference w:type="default" r:id="rId10"/>
      <w:footerReference w:type="default" r:id="rId11"/>
      <w:pgSz w:w="12240" w:h="15840"/>
      <w:pgMar w:top="1418" w:right="1418" w:bottom="1418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AC2" w:rsidRDefault="004F4AC2">
      <w:r>
        <w:separator/>
      </w:r>
    </w:p>
  </w:endnote>
  <w:endnote w:type="continuationSeparator" w:id="0">
    <w:p w:rsidR="004F4AC2" w:rsidRDefault="004F4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Gothic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AC2" w:rsidRPr="00E90DA2" w:rsidRDefault="004F4AC2">
    <w:pPr>
      <w:pStyle w:val="Piedepgina"/>
      <w:rPr>
        <w:lang w:val="es-CO"/>
      </w:rPr>
    </w:pPr>
    <w:r>
      <w:rPr>
        <w:lang w:val="es-CO"/>
      </w:rPr>
      <w:tab/>
    </w:r>
    <w:r>
      <w:rPr>
        <w:lang w:val="es-CO"/>
      </w:rPr>
      <w:tab/>
    </w:r>
    <w:r>
      <w:rPr>
        <w:lang w:val="es-CO"/>
      </w:rPr>
      <w:tab/>
    </w:r>
    <w:r>
      <w:rPr>
        <w:lang w:val="es-CO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AC2" w:rsidRDefault="004F4AC2">
      <w:r>
        <w:separator/>
      </w:r>
    </w:p>
  </w:footnote>
  <w:footnote w:type="continuationSeparator" w:id="0">
    <w:p w:rsidR="004F4AC2" w:rsidRDefault="004F4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5000" w:type="pct"/>
      <w:tblLook w:val="01E0" w:firstRow="1" w:lastRow="1" w:firstColumn="1" w:lastColumn="1" w:noHBand="0" w:noVBand="0"/>
    </w:tblPr>
    <w:tblGrid>
      <w:gridCol w:w="2808"/>
      <w:gridCol w:w="4444"/>
      <w:gridCol w:w="2368"/>
    </w:tblGrid>
    <w:tr w:rsidR="004F4AC2" w:rsidTr="001A238B">
      <w:trPr>
        <w:trHeight w:val="536"/>
      </w:trPr>
      <w:tc>
        <w:tcPr>
          <w:tcW w:w="1459" w:type="pct"/>
          <w:vMerge w:val="restart"/>
        </w:tcPr>
        <w:p w:rsidR="004F4AC2" w:rsidRDefault="004F4AC2" w:rsidP="00A50E31">
          <w:pPr>
            <w:autoSpaceDE w:val="0"/>
            <w:autoSpaceDN w:val="0"/>
            <w:adjustRightInd w:val="0"/>
            <w:jc w:val="both"/>
            <w:rPr>
              <w:rFonts w:ascii="CenturyGothic-Bold" w:hAnsi="CenturyGothic-Bold" w:cs="CenturyGothic-Bold"/>
              <w:b/>
              <w:bCs/>
            </w:rPr>
          </w:pPr>
          <w:r>
            <w:rPr>
              <w:noProof/>
              <w:sz w:val="2"/>
              <w:lang w:val="es-CO" w:eastAsia="es-CO"/>
            </w:rPr>
            <w:drawing>
              <wp:inline distT="0" distB="0" distL="0" distR="0" wp14:anchorId="646E891C" wp14:editId="7F8EED2E">
                <wp:extent cx="1594485" cy="691515"/>
                <wp:effectExtent l="19050" t="0" r="5715" b="0"/>
                <wp:docPr id="4" name="Imagen 1" descr="ISAGRO COLOMB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SAGRO COLOMB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4485" cy="691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10" w:type="pct"/>
          <w:vAlign w:val="center"/>
        </w:tcPr>
        <w:p w:rsidR="004F4AC2" w:rsidRPr="009E360E" w:rsidRDefault="004F4AC2" w:rsidP="001A238B">
          <w:pPr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FICHA TECNICA</w:t>
          </w:r>
        </w:p>
      </w:tc>
      <w:tc>
        <w:tcPr>
          <w:tcW w:w="1231" w:type="pct"/>
          <w:vAlign w:val="center"/>
        </w:tcPr>
        <w:p w:rsidR="004F4AC2" w:rsidRPr="00C76423" w:rsidRDefault="004F4AC2" w:rsidP="001A238B">
          <w:pPr>
            <w:pStyle w:val="Ttulo1"/>
            <w:jc w:val="left"/>
            <w:rPr>
              <w:sz w:val="24"/>
              <w:lang w:val="en-US"/>
            </w:rPr>
          </w:pPr>
          <w:r w:rsidRPr="009E360E">
            <w:rPr>
              <w:sz w:val="24"/>
            </w:rPr>
            <w:t>Código</w:t>
          </w:r>
          <w:r w:rsidRPr="00C76423">
            <w:rPr>
              <w:sz w:val="24"/>
              <w:lang w:val="en-US"/>
            </w:rPr>
            <w:t xml:space="preserve"> </w:t>
          </w:r>
          <w:r>
            <w:rPr>
              <w:sz w:val="24"/>
            </w:rPr>
            <w:t>FI</w:t>
          </w:r>
          <w:r w:rsidRPr="009E360E">
            <w:rPr>
              <w:sz w:val="24"/>
            </w:rPr>
            <w:t>-DR-</w:t>
          </w:r>
          <w:r>
            <w:rPr>
              <w:sz w:val="24"/>
            </w:rPr>
            <w:t>48</w:t>
          </w:r>
        </w:p>
        <w:p w:rsidR="004F4AC2" w:rsidRPr="00C76423" w:rsidRDefault="004F4AC2" w:rsidP="000A41B0">
          <w:pPr>
            <w:rPr>
              <w:rFonts w:ascii="Arial" w:hAnsi="Arial" w:cs="Arial"/>
              <w:b/>
              <w:lang w:val="en-US"/>
            </w:rPr>
          </w:pPr>
          <w:r w:rsidRPr="009E360E">
            <w:rPr>
              <w:rFonts w:ascii="Arial" w:hAnsi="Arial" w:cs="Arial"/>
              <w:b/>
            </w:rPr>
            <w:t>Versión</w:t>
          </w:r>
          <w:r w:rsidRPr="00C76423">
            <w:rPr>
              <w:rFonts w:ascii="Arial" w:hAnsi="Arial" w:cs="Arial"/>
              <w:b/>
              <w:lang w:val="en-US"/>
            </w:rPr>
            <w:t xml:space="preserve"> </w:t>
          </w:r>
          <w:r>
            <w:rPr>
              <w:rFonts w:ascii="Arial" w:hAnsi="Arial" w:cs="Arial"/>
              <w:b/>
              <w:lang w:val="en-US"/>
            </w:rPr>
            <w:t>1</w:t>
          </w:r>
        </w:p>
      </w:tc>
    </w:tr>
    <w:tr w:rsidR="004F4AC2" w:rsidTr="001A238B">
      <w:trPr>
        <w:trHeight w:val="346"/>
      </w:trPr>
      <w:tc>
        <w:tcPr>
          <w:tcW w:w="1459" w:type="pct"/>
          <w:vMerge/>
        </w:tcPr>
        <w:p w:rsidR="004F4AC2" w:rsidRDefault="004F4AC2" w:rsidP="00A50E31">
          <w:pPr>
            <w:autoSpaceDE w:val="0"/>
            <w:autoSpaceDN w:val="0"/>
            <w:adjustRightInd w:val="0"/>
            <w:rPr>
              <w:rFonts w:ascii="CenturyGothic-Bold" w:hAnsi="CenturyGothic-Bold" w:cs="CenturyGothic-Bold"/>
              <w:b/>
              <w:bCs/>
              <w:noProof/>
            </w:rPr>
          </w:pPr>
        </w:p>
      </w:tc>
      <w:tc>
        <w:tcPr>
          <w:tcW w:w="2310" w:type="pct"/>
          <w:vAlign w:val="center"/>
        </w:tcPr>
        <w:p w:rsidR="004F4AC2" w:rsidRPr="00A50E31" w:rsidRDefault="004F4AC2" w:rsidP="001A238B">
          <w:pPr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CAL</w:t>
          </w:r>
          <w:r w:rsidRPr="0024034E">
            <w:rPr>
              <w:rFonts w:ascii="Arial" w:hAnsi="Arial" w:cs="Arial"/>
              <w:b/>
              <w:vertAlign w:val="superscript"/>
            </w:rPr>
            <w:t>®</w:t>
          </w:r>
          <w:r>
            <w:rPr>
              <w:rFonts w:ascii="Arial" w:hAnsi="Arial" w:cs="Arial"/>
              <w:b/>
            </w:rPr>
            <w:t xml:space="preserve"> 40 </w:t>
          </w:r>
        </w:p>
      </w:tc>
      <w:tc>
        <w:tcPr>
          <w:tcW w:w="1231" w:type="pct"/>
          <w:vAlign w:val="center"/>
        </w:tcPr>
        <w:p w:rsidR="004F4AC2" w:rsidRPr="0024034E" w:rsidRDefault="004F4AC2" w:rsidP="001A238B">
          <w:pPr>
            <w:pStyle w:val="Ttulo1"/>
            <w:jc w:val="left"/>
            <w:rPr>
              <w:sz w:val="24"/>
            </w:rPr>
          </w:pPr>
          <w:r w:rsidRPr="0024034E">
            <w:rPr>
              <w:sz w:val="24"/>
            </w:rPr>
            <w:t xml:space="preserve">Página </w:t>
          </w:r>
          <w:r w:rsidRPr="0024034E">
            <w:rPr>
              <w:rStyle w:val="Nmerodepgina"/>
              <w:sz w:val="24"/>
            </w:rPr>
            <w:fldChar w:fldCharType="begin"/>
          </w:r>
          <w:r w:rsidRPr="0024034E">
            <w:rPr>
              <w:rStyle w:val="Nmerodepgina"/>
              <w:sz w:val="24"/>
            </w:rPr>
            <w:instrText xml:space="preserve"> PAGE </w:instrText>
          </w:r>
          <w:r w:rsidRPr="0024034E">
            <w:rPr>
              <w:rStyle w:val="Nmerodepgina"/>
              <w:sz w:val="24"/>
            </w:rPr>
            <w:fldChar w:fldCharType="separate"/>
          </w:r>
          <w:r w:rsidR="00314BCC">
            <w:rPr>
              <w:rStyle w:val="Nmerodepgina"/>
              <w:noProof/>
              <w:sz w:val="24"/>
            </w:rPr>
            <w:t>5</w:t>
          </w:r>
          <w:r w:rsidRPr="0024034E">
            <w:rPr>
              <w:rStyle w:val="Nmerodepgina"/>
              <w:sz w:val="24"/>
            </w:rPr>
            <w:fldChar w:fldCharType="end"/>
          </w:r>
          <w:r w:rsidRPr="0024034E">
            <w:rPr>
              <w:sz w:val="24"/>
            </w:rPr>
            <w:t xml:space="preserve"> de </w:t>
          </w:r>
          <w:r w:rsidRPr="0024034E">
            <w:rPr>
              <w:rStyle w:val="Nmerodepgina"/>
              <w:sz w:val="24"/>
            </w:rPr>
            <w:fldChar w:fldCharType="begin"/>
          </w:r>
          <w:r w:rsidRPr="0024034E">
            <w:rPr>
              <w:rStyle w:val="Nmerodepgina"/>
              <w:sz w:val="24"/>
            </w:rPr>
            <w:instrText xml:space="preserve"> NUMPAGES </w:instrText>
          </w:r>
          <w:r w:rsidRPr="0024034E">
            <w:rPr>
              <w:rStyle w:val="Nmerodepgina"/>
              <w:sz w:val="24"/>
            </w:rPr>
            <w:fldChar w:fldCharType="separate"/>
          </w:r>
          <w:r w:rsidR="00314BCC">
            <w:rPr>
              <w:rStyle w:val="Nmerodepgina"/>
              <w:noProof/>
              <w:sz w:val="24"/>
            </w:rPr>
            <w:t>5</w:t>
          </w:r>
          <w:r w:rsidRPr="0024034E">
            <w:rPr>
              <w:rStyle w:val="Nmerodepgina"/>
              <w:sz w:val="24"/>
            </w:rPr>
            <w:fldChar w:fldCharType="end"/>
          </w:r>
        </w:p>
      </w:tc>
    </w:tr>
  </w:tbl>
  <w:p w:rsidR="004F4AC2" w:rsidRDefault="004F4AC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BB3"/>
    <w:multiLevelType w:val="hybridMultilevel"/>
    <w:tmpl w:val="00002EA6"/>
    <w:lvl w:ilvl="0" w:tplc="000012D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649"/>
    <w:multiLevelType w:val="hybridMultilevel"/>
    <w:tmpl w:val="00006DF1"/>
    <w:lvl w:ilvl="0" w:tplc="00005AF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2CD6"/>
    <w:multiLevelType w:val="hybridMultilevel"/>
    <w:tmpl w:val="000072AE"/>
    <w:lvl w:ilvl="0" w:tplc="0000695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41BB"/>
    <w:multiLevelType w:val="hybridMultilevel"/>
    <w:tmpl w:val="000026E9"/>
    <w:lvl w:ilvl="0" w:tplc="000001E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2674B8B"/>
    <w:multiLevelType w:val="hybridMultilevel"/>
    <w:tmpl w:val="B8CE6B4C"/>
    <w:lvl w:ilvl="0" w:tplc="397212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NewRomanPSMT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2ED69C9"/>
    <w:multiLevelType w:val="hybridMultilevel"/>
    <w:tmpl w:val="2C2CE6BE"/>
    <w:lvl w:ilvl="0" w:tplc="8AFC91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92B2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06E37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823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8882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6C80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1E54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6A5D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3465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05D7436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619786C"/>
    <w:multiLevelType w:val="hybridMultilevel"/>
    <w:tmpl w:val="27900D18"/>
    <w:lvl w:ilvl="0" w:tplc="B74ED8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96B5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DE0B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3EEAF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DE17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2CF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CDE3F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A4B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8A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16C066CE"/>
    <w:multiLevelType w:val="hybridMultilevel"/>
    <w:tmpl w:val="7D14D52E"/>
    <w:lvl w:ilvl="0" w:tplc="397212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NewRomanPSMT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EAC67A4"/>
    <w:multiLevelType w:val="hybridMultilevel"/>
    <w:tmpl w:val="93A4A2EA"/>
    <w:lvl w:ilvl="0" w:tplc="397212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NewRomanPSMT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3813E75"/>
    <w:multiLevelType w:val="hybridMultilevel"/>
    <w:tmpl w:val="C2A232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72560E"/>
    <w:multiLevelType w:val="hybridMultilevel"/>
    <w:tmpl w:val="2B8E415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E377EE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395C40BA"/>
    <w:multiLevelType w:val="hybridMultilevel"/>
    <w:tmpl w:val="E65E2A1E"/>
    <w:lvl w:ilvl="0" w:tplc="397212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NewRomanPSMT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38E608F"/>
    <w:multiLevelType w:val="multilevel"/>
    <w:tmpl w:val="23BA17B2"/>
    <w:lvl w:ilvl="0">
      <w:start w:val="1"/>
      <w:numFmt w:val="decimal"/>
      <w:lvlText w:val="%1."/>
      <w:legacy w:legacy="1" w:legacySpace="0" w:legacyIndent="283"/>
      <w:lvlJc w:val="left"/>
      <w:pPr>
        <w:ind w:left="1003" w:hanging="283"/>
      </w:pPr>
    </w:lvl>
    <w:lvl w:ilvl="1">
      <w:start w:val="1"/>
      <w:numFmt w:val="decimal"/>
      <w:isLgl/>
      <w:lvlText w:val="%1.%2."/>
      <w:lvlJc w:val="left"/>
      <w:pPr>
        <w:tabs>
          <w:tab w:val="num" w:pos="1860"/>
        </w:tabs>
        <w:ind w:left="186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7200"/>
        </w:tabs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8280"/>
        </w:tabs>
        <w:ind w:left="8280" w:hanging="1800"/>
      </w:pPr>
      <w:rPr>
        <w:rFonts w:hint="default"/>
      </w:rPr>
    </w:lvl>
  </w:abstractNum>
  <w:abstractNum w:abstractNumId="18">
    <w:nsid w:val="5B771BA1"/>
    <w:multiLevelType w:val="hybridMultilevel"/>
    <w:tmpl w:val="8E003416"/>
    <w:lvl w:ilvl="0" w:tplc="989E536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53028F4"/>
    <w:multiLevelType w:val="hybridMultilevel"/>
    <w:tmpl w:val="13EEE636"/>
    <w:lvl w:ilvl="0" w:tplc="397212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NewRomanPSMT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EE46B5E"/>
    <w:multiLevelType w:val="hybridMultilevel"/>
    <w:tmpl w:val="849A7284"/>
    <w:lvl w:ilvl="0" w:tplc="240A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1">
    <w:nsid w:val="7D783B77"/>
    <w:multiLevelType w:val="hybridMultilevel"/>
    <w:tmpl w:val="E432E410"/>
    <w:lvl w:ilvl="0" w:tplc="397212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NewRomanPSMT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1"/>
  </w:num>
  <w:num w:numId="3">
    <w:abstractNumId w:val="7"/>
  </w:num>
  <w:num w:numId="4">
    <w:abstractNumId w:val="19"/>
  </w:num>
  <w:num w:numId="5">
    <w:abstractNumId w:val="12"/>
  </w:num>
  <w:num w:numId="6">
    <w:abstractNumId w:val="16"/>
  </w:num>
  <w:num w:numId="7">
    <w:abstractNumId w:val="11"/>
  </w:num>
  <w:num w:numId="8">
    <w:abstractNumId w:val="8"/>
  </w:num>
  <w:num w:numId="9">
    <w:abstractNumId w:val="10"/>
  </w:num>
  <w:num w:numId="10">
    <w:abstractNumId w:val="17"/>
  </w:num>
  <w:num w:numId="11">
    <w:abstractNumId w:val="0"/>
    <w:lvlOverride w:ilvl="0">
      <w:lvl w:ilvl="0">
        <w:start w:val="1"/>
        <w:numFmt w:val="bullet"/>
        <w:lvlText w:val="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2">
    <w:abstractNumId w:val="15"/>
  </w:num>
  <w:num w:numId="13">
    <w:abstractNumId w:val="9"/>
  </w:num>
  <w:num w:numId="14">
    <w:abstractNumId w:val="18"/>
  </w:num>
  <w:num w:numId="15">
    <w:abstractNumId w:val="1"/>
  </w:num>
  <w:num w:numId="16">
    <w:abstractNumId w:val="6"/>
  </w:num>
  <w:num w:numId="17">
    <w:abstractNumId w:val="4"/>
  </w:num>
  <w:num w:numId="18">
    <w:abstractNumId w:val="3"/>
  </w:num>
  <w:num w:numId="19">
    <w:abstractNumId w:val="5"/>
  </w:num>
  <w:num w:numId="20">
    <w:abstractNumId w:val="2"/>
  </w:num>
  <w:num w:numId="21">
    <w:abstractNumId w:val="1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3B98"/>
    <w:rsid w:val="00024C58"/>
    <w:rsid w:val="00045E96"/>
    <w:rsid w:val="000A41B0"/>
    <w:rsid w:val="000F17B7"/>
    <w:rsid w:val="000F2C29"/>
    <w:rsid w:val="001A238B"/>
    <w:rsid w:val="001A3462"/>
    <w:rsid w:val="001B0BE0"/>
    <w:rsid w:val="001B3FCC"/>
    <w:rsid w:val="001E703F"/>
    <w:rsid w:val="001F27B9"/>
    <w:rsid w:val="00231B35"/>
    <w:rsid w:val="00277529"/>
    <w:rsid w:val="00287682"/>
    <w:rsid w:val="002D73C0"/>
    <w:rsid w:val="002F7BFF"/>
    <w:rsid w:val="003030C8"/>
    <w:rsid w:val="00314BCC"/>
    <w:rsid w:val="003A12FF"/>
    <w:rsid w:val="003D0630"/>
    <w:rsid w:val="004F4AC2"/>
    <w:rsid w:val="00520A3F"/>
    <w:rsid w:val="005A42E1"/>
    <w:rsid w:val="005B753B"/>
    <w:rsid w:val="005D579E"/>
    <w:rsid w:val="005E3F0B"/>
    <w:rsid w:val="0068655B"/>
    <w:rsid w:val="0071238E"/>
    <w:rsid w:val="00736B28"/>
    <w:rsid w:val="00756C39"/>
    <w:rsid w:val="00762DED"/>
    <w:rsid w:val="00824CFE"/>
    <w:rsid w:val="008B1A8B"/>
    <w:rsid w:val="00932172"/>
    <w:rsid w:val="00953B98"/>
    <w:rsid w:val="00A50E31"/>
    <w:rsid w:val="00A710EA"/>
    <w:rsid w:val="00B276BA"/>
    <w:rsid w:val="00BD5578"/>
    <w:rsid w:val="00BF369F"/>
    <w:rsid w:val="00C137FA"/>
    <w:rsid w:val="00C47DB5"/>
    <w:rsid w:val="00CD22A7"/>
    <w:rsid w:val="00D15823"/>
    <w:rsid w:val="00D33492"/>
    <w:rsid w:val="00DA32AD"/>
    <w:rsid w:val="00DA62E5"/>
    <w:rsid w:val="00E90DA2"/>
    <w:rsid w:val="00EC20F3"/>
    <w:rsid w:val="00F20806"/>
    <w:rsid w:val="00F5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E31"/>
    <w:rPr>
      <w:sz w:val="24"/>
      <w:szCs w:val="24"/>
    </w:rPr>
  </w:style>
  <w:style w:type="paragraph" w:styleId="Ttulo1">
    <w:name w:val="heading 1"/>
    <w:basedOn w:val="Normal"/>
    <w:next w:val="Normal"/>
    <w:qFormat/>
    <w:rsid w:val="00A50E31"/>
    <w:pPr>
      <w:keepNext/>
      <w:jc w:val="center"/>
      <w:outlineLvl w:val="0"/>
    </w:pPr>
    <w:rPr>
      <w:rFonts w:ascii="Arial" w:hAnsi="Arial" w:cs="Arial"/>
      <w:b/>
      <w:bCs/>
      <w:sz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50E31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50E31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A50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uentedeprrafopredeter"/>
    <w:rsid w:val="00A50E31"/>
  </w:style>
  <w:style w:type="paragraph" w:styleId="Textodeglobo">
    <w:name w:val="Balloon Text"/>
    <w:basedOn w:val="Normal"/>
    <w:link w:val="TextodegloboCar"/>
    <w:uiPriority w:val="99"/>
    <w:semiHidden/>
    <w:unhideWhenUsed/>
    <w:rsid w:val="00A710E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10EA"/>
    <w:rPr>
      <w:rFonts w:ascii="Tahoma" w:hAnsi="Tahoma" w:cs="Tahoma"/>
      <w:sz w:val="16"/>
      <w:szCs w:val="16"/>
    </w:rPr>
  </w:style>
  <w:style w:type="paragraph" w:customStyle="1" w:styleId="Testo8ptcolonna">
    <w:name w:val="Testo 8pt colonna"/>
    <w:basedOn w:val="Normal"/>
    <w:rsid w:val="00CD22A7"/>
    <w:pPr>
      <w:ind w:right="79"/>
      <w:jc w:val="both"/>
    </w:pPr>
    <w:rPr>
      <w:rFonts w:ascii="Arial" w:hAnsi="Arial"/>
      <w:sz w:val="16"/>
      <w:szCs w:val="20"/>
      <w:lang w:val="it-IT" w:eastAsia="it-IT"/>
    </w:rPr>
  </w:style>
  <w:style w:type="paragraph" w:customStyle="1" w:styleId="Sottointestazioneparagrafo">
    <w:name w:val="Sottointestazione paragrafo"/>
    <w:basedOn w:val="Normal"/>
    <w:next w:val="Testo8ptcolonna"/>
    <w:rsid w:val="00CD22A7"/>
    <w:pPr>
      <w:spacing w:before="40"/>
      <w:ind w:right="79"/>
      <w:jc w:val="both"/>
    </w:pPr>
    <w:rPr>
      <w:rFonts w:ascii="Arial" w:hAnsi="Arial"/>
      <w:b/>
      <w:sz w:val="16"/>
      <w:szCs w:val="20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1035</Words>
  <Characters>5367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Administrador</dc:creator>
  <cp:keywords/>
  <dc:description/>
  <cp:lastModifiedBy>Produccion</cp:lastModifiedBy>
  <cp:revision>3</cp:revision>
  <cp:lastPrinted>2011-09-09T15:22:00Z</cp:lastPrinted>
  <dcterms:created xsi:type="dcterms:W3CDTF">2013-04-16T17:08:00Z</dcterms:created>
  <dcterms:modified xsi:type="dcterms:W3CDTF">2013-04-16T18:07:00Z</dcterms:modified>
</cp:coreProperties>
</file>